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1C36" w14:textId="77777777" w:rsidR="00E53CE3" w:rsidRP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14:paraId="1B920D6D" w14:textId="77777777" w:rsid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разработку методических обучающих материалов </w:t>
      </w:r>
    </w:p>
    <w:p w14:paraId="4D19BEDA" w14:textId="77777777" w:rsidR="00E4099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размещения на образовательной платформе</w:t>
      </w:r>
    </w:p>
    <w:p w14:paraId="6FBB8A22" w14:textId="77777777" w:rsidR="00E53CE3" w:rsidRDefault="00E53CE3" w:rsidP="00E5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6842"/>
      </w:tblGrid>
      <w:tr w:rsidR="00E53CE3" w:rsidRPr="0013462B" w14:paraId="6652F815" w14:textId="77777777" w:rsidTr="00F20BA8">
        <w:trPr>
          <w:trHeight w:val="238"/>
        </w:trPr>
        <w:tc>
          <w:tcPr>
            <w:tcW w:w="3223" w:type="dxa"/>
          </w:tcPr>
          <w:p w14:paraId="08AF2B7F" w14:textId="77777777"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42" w:type="dxa"/>
          </w:tcPr>
          <w:p w14:paraId="43246567" w14:textId="77777777" w:rsidR="00E53CE3" w:rsidRPr="0013462B" w:rsidRDefault="00E53CE3" w:rsidP="00A8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услуг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разработке методических обучающих материалов</w:t>
            </w:r>
            <w:r w:rsidR="005B57FF"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размещения на образовательной платформе</w:t>
            </w:r>
          </w:p>
        </w:tc>
      </w:tr>
      <w:tr w:rsidR="00E53CE3" w:rsidRPr="0013462B" w14:paraId="26109903" w14:textId="77777777" w:rsidTr="00F20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3" w:type="dxa"/>
            <w:shd w:val="clear" w:color="auto" w:fill="auto"/>
          </w:tcPr>
          <w:p w14:paraId="18042B67" w14:textId="77777777"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42" w:type="dxa"/>
            <w:shd w:val="clear" w:color="auto" w:fill="auto"/>
          </w:tcPr>
          <w:p w14:paraId="7301C5DD" w14:textId="77777777"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</w:p>
        </w:tc>
      </w:tr>
      <w:tr w:rsidR="00E53CE3" w:rsidRPr="0013462B" w14:paraId="2E79BE1B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C6F4" w14:textId="77777777"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67B1" w14:textId="0AE655D9" w:rsidR="00E53CE3" w:rsidRPr="0013462B" w:rsidRDefault="00E53CE3" w:rsidP="00966F2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даты подписания договора </w:t>
            </w:r>
            <w:r w:rsidR="00C21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966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1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ря 2021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  <w:tr w:rsidR="00510EB5" w:rsidRPr="0013462B" w14:paraId="6A5AEA88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ECC42" w14:textId="77777777" w:rsidR="00510EB5" w:rsidRPr="0013462B" w:rsidRDefault="00510EB5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содержание </w:t>
            </w: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раздела</w:t>
            </w:r>
            <w:r w:rsidR="003F4725"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разработки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A72B" w14:textId="77777777" w:rsidR="00510EB5" w:rsidRDefault="00510EB5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6C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«</w:t>
            </w:r>
            <w:r w:rsidR="00D31E1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Финансовое планирование. Разработка бизнес-плана</w:t>
            </w:r>
            <w:r w:rsidRPr="002B6C1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460FD006" w14:textId="0E4DA87F" w:rsidR="002B6C1D" w:rsidRPr="0013462B" w:rsidRDefault="00E67796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Бизнес-план: назначение, структура и содержание основных разделов</w:t>
            </w:r>
            <w:r w:rsidR="002B6C1D" w:rsidRPr="001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C40E2" w14:textId="25E255A6" w:rsidR="002B6C1D" w:rsidRPr="0013462B" w:rsidRDefault="00144B42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концепция бизнеса: продукт (продукция, услуги), потребитель, конкурентные преимущества</w:t>
            </w:r>
            <w:r w:rsidR="00B61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41FB9C" w14:textId="6D01A8D1" w:rsidR="002B6C1D" w:rsidRDefault="00144B42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запуска.</w:t>
            </w:r>
            <w:r w:rsidR="008E2B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61F8B">
              <w:rPr>
                <w:rFonts w:ascii="Times New Roman" w:hAnsi="Times New Roman" w:cs="Times New Roman"/>
                <w:sz w:val="24"/>
                <w:szCs w:val="24"/>
              </w:rPr>
              <w:t>нвестиционные и текущие расходы;</w:t>
            </w:r>
          </w:p>
          <w:p w14:paraId="495FF2E3" w14:textId="73B65062" w:rsidR="008E2B6F" w:rsidRDefault="008E2B6F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продаж</w:t>
            </w:r>
            <w:r w:rsidR="00B61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5E83E3" w14:textId="4EE5C923" w:rsidR="002B6C1D" w:rsidRDefault="00E67796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план</w:t>
            </w:r>
            <w:r w:rsidR="00B61F8B">
              <w:rPr>
                <w:rFonts w:ascii="Times New Roman" w:hAnsi="Times New Roman" w:cs="Times New Roman"/>
                <w:sz w:val="24"/>
                <w:szCs w:val="24"/>
              </w:rPr>
              <w:t>. Оценка эффективности би</w:t>
            </w:r>
            <w:r w:rsidR="008E2B6F">
              <w:rPr>
                <w:rFonts w:ascii="Times New Roman" w:hAnsi="Times New Roman" w:cs="Times New Roman"/>
                <w:sz w:val="24"/>
                <w:szCs w:val="24"/>
              </w:rPr>
              <w:t>знес-проекта</w:t>
            </w:r>
            <w:r w:rsidR="00044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F66ABE" w14:textId="346BC7F2" w:rsidR="00044B54" w:rsidRPr="0013462B" w:rsidRDefault="00B61F8B" w:rsidP="00A823F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B54">
              <w:rPr>
                <w:rFonts w:ascii="Times New Roman" w:hAnsi="Times New Roman" w:cs="Times New Roman"/>
                <w:sz w:val="24"/>
                <w:szCs w:val="24"/>
              </w:rPr>
              <w:t>тоговое тестирование.</w:t>
            </w:r>
          </w:p>
          <w:p w14:paraId="5869B53E" w14:textId="77777777" w:rsidR="002B6C1D" w:rsidRPr="0013462B" w:rsidRDefault="002B6C1D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может быть дополнен иными темами, соответствующими содержанию. 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внесения изменений, 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тоговый вариант тем для раздела согласовывается с Заказчиком в течении 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 с даты заключения договора.</w:t>
            </w:r>
          </w:p>
        </w:tc>
      </w:tr>
      <w:tr w:rsidR="005B57FF" w:rsidRPr="0013462B" w14:paraId="7EB1A267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44989" w14:textId="77777777" w:rsidR="005B57FF" w:rsidRPr="0013462B" w:rsidRDefault="002B6C1D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D65A" w14:textId="77777777" w:rsidR="005B57FF" w:rsidRPr="0013462B" w:rsidRDefault="005B57FF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 w:rsidR="00E414C3"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5CFC69" w14:textId="77777777" w:rsidR="003F4725" w:rsidRPr="0013462B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изучению обучающего раздела и его тем;</w:t>
            </w:r>
          </w:p>
          <w:p w14:paraId="624C0715" w14:textId="77777777"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лекции;</w:t>
            </w:r>
          </w:p>
          <w:p w14:paraId="19B8A0A6" w14:textId="77777777" w:rsidR="003F4725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  <w:p w14:paraId="5AF7C8FC" w14:textId="77777777"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таблицы;</w:t>
            </w:r>
          </w:p>
          <w:p w14:paraId="6EE64CBA" w14:textId="77777777"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  <w:p w14:paraId="141A6BF7" w14:textId="77777777"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</w:t>
            </w:r>
            <w:r w:rsidR="00271C5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итература, видео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ACA7E3" w14:textId="77777777" w:rsidR="00F20BA8" w:rsidRPr="00D4212A" w:rsidRDefault="00D4212A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E414C3" w:rsidRPr="0013462B" w14:paraId="50B7B19B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03BAE" w14:textId="77777777" w:rsidR="00E414C3" w:rsidRDefault="00E414C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Рекомендуемые форматы методических обучающих материалов для раздела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8291" w14:textId="77777777" w:rsidR="00E414C3" w:rsidRDefault="00E414C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</w:t>
            </w:r>
            <w:r w:rsidR="00D31E1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планирование. Разработка бизнес-плана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должен содержать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рекомендации по изучению обучающего раздела и его тем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13ADFF" w14:textId="77777777" w:rsidR="00F20BA8" w:rsidRPr="00E414C3" w:rsidRDefault="00F20BA8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 должны быть представлены в следующих форматах:</w:t>
            </w:r>
          </w:p>
          <w:p w14:paraId="3906E7C1" w14:textId="3C30F346" w:rsidR="00E414C3" w:rsidRPr="00E414C3" w:rsidRDefault="00E67796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Бизнес-план: назначение, структура и содержание основных разделов – </w:t>
            </w:r>
            <w:r w:rsid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лекция, </w:t>
            </w:r>
            <w:r w:rsidRPr="00E677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схема</w:t>
            </w:r>
            <w:r w:rsidR="008E2B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E2B6F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(этапы разработки бизнес-плана – пошаговая инструкция)</w:t>
            </w:r>
            <w:r w:rsidR="00E414C3" w:rsidRPr="00E414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485446A" w14:textId="705CF082" w:rsidR="008E2B6F" w:rsidRPr="00DC0F5E" w:rsidRDefault="008E2B6F" w:rsidP="008E2B6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концепция бизнеса: продукт (продукция, услуги), потребите</w:t>
            </w:r>
            <w:r w:rsidR="00B61F8B">
              <w:rPr>
                <w:rFonts w:ascii="Times New Roman" w:hAnsi="Times New Roman" w:cs="Times New Roman"/>
                <w:sz w:val="24"/>
                <w:szCs w:val="24"/>
              </w:rPr>
              <w:t xml:space="preserve">ль, конкурентные преимущества – </w:t>
            </w:r>
            <w:r w:rsidRPr="00E677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лекция,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презентация, таблицы 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(анализ конкурентов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бизнес-модель/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ценность продукта)</w:t>
            </w:r>
            <w:r w:rsidR="00DC0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14:paraId="1EF08FCD" w14:textId="1D402402" w:rsidR="008E2B6F" w:rsidRPr="0013462B" w:rsidRDefault="008E2B6F" w:rsidP="008E2B6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запуска. Инвестиционные и текущие расходы – </w:t>
            </w:r>
            <w:r w:rsidRPr="00E677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лекция, </w:t>
            </w:r>
            <w:r w:rsidR="00F554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схема,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таблицы 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(инвестиционный бюджет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текущие издержки на ведение бизнеса)</w:t>
            </w:r>
            <w:r w:rsidR="00DC0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14:paraId="79EC30B8" w14:textId="2D7FB647" w:rsidR="008E2B6F" w:rsidRPr="0013462B" w:rsidRDefault="008E2B6F" w:rsidP="008E2B6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продаж – </w:t>
            </w:r>
            <w:r w:rsidRPr="00E677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лекция,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презентация, </w:t>
            </w:r>
            <w:r w:rsidR="00F554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схемы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(ценообразование; расчет точки безубыточности),</w:t>
            </w:r>
            <w:r w:rsidR="00F5544E" w:rsidRPr="00F5544E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таблиц</w:t>
            </w:r>
            <w:r w:rsidR="00F554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B25F85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расчет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минимальн</w:t>
            </w:r>
            <w:r w:rsidR="00B25F85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ого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объем</w:t>
            </w:r>
            <w:r w:rsidR="00B25F85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продаж, обеспечивающ</w:t>
            </w:r>
            <w:r w:rsidR="00B25F85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его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окупаемость проекта – точка безубыточности</w:t>
            </w:r>
            <w:r w:rsidR="00B25F85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 прогноз продаж</w:t>
            </w:r>
            <w:r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DC0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14:paraId="3569E652" w14:textId="3C8EBFA3" w:rsidR="00E414C3" w:rsidRPr="00DC0F5E" w:rsidRDefault="008E2B6F" w:rsidP="00CA1CBC">
            <w:pPr>
              <w:pStyle w:val="a4"/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5E">
              <w:rPr>
                <w:rFonts w:ascii="Times New Roman" w:hAnsi="Times New Roman" w:cs="Times New Roman"/>
                <w:sz w:val="24"/>
                <w:szCs w:val="24"/>
              </w:rPr>
              <w:t>Финансовый план. Оценка эффективности б</w:t>
            </w:r>
            <w:r w:rsidR="00F5544E" w:rsidRPr="00DC0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5E">
              <w:rPr>
                <w:rFonts w:ascii="Times New Roman" w:hAnsi="Times New Roman" w:cs="Times New Roman"/>
                <w:sz w:val="24"/>
                <w:szCs w:val="24"/>
              </w:rPr>
              <w:t>знес-проекта</w:t>
            </w:r>
            <w:r w:rsidR="00F5544E" w:rsidRPr="00DC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31" w:rsidRPr="00DC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лекция, </w:t>
            </w:r>
            <w:r w:rsidR="000F2A31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таблицы</w:t>
            </w:r>
            <w:r w:rsidR="00E67796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(прогноз прибылей, показатели эффективности проекта),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5544E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шаблон финансовой модели в </w:t>
            </w:r>
            <w:r w:rsidR="00B61F8B" w:rsidRPr="00DC0F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Excel</w:t>
            </w:r>
            <w:r w:rsidR="00DC0F5E" w:rsidRPr="00DC0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14:paraId="3AB5A7D0" w14:textId="77777777" w:rsidR="00ED5BCB" w:rsidRPr="00E414C3" w:rsidRDefault="00ED5BCB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– </w:t>
            </w:r>
            <w:r w:rsidRPr="00ED5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F3B01A" w14:textId="77777777" w:rsidR="00E414C3" w:rsidRPr="0013462B" w:rsidRDefault="00044B54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азчиком, Исполнителем могут быть предложены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перераспределены форматы </w:t>
            </w:r>
            <w:r w:rsidR="00426F8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вовлечь и заинтересовать участников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CE3" w:rsidRPr="0013462B" w14:paraId="4332ABDC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5712F" w14:textId="77777777" w:rsidR="00E53CE3" w:rsidRPr="0013462B" w:rsidRDefault="00C8429B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Количественные характеристики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E4CD" w14:textId="77777777" w:rsidR="00526308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обучающего раздела и его тем – не более 1 страницы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1D6650" w14:textId="77777777"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 –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одной лекции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текста;</w:t>
            </w:r>
          </w:p>
          <w:p w14:paraId="20EADCBD" w14:textId="77777777"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слайдов одной презентации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10 и не более 15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D22F1AF" w14:textId="77777777"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</w:t>
            </w:r>
            <w:r w:rsidR="0041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размещение на 1 странице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9EBB29" w14:textId="77777777" w:rsidR="00C8429B" w:rsidRPr="0013462B" w:rsidRDefault="00037516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количеством вопросов не менее 10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47F0603" w14:textId="77777777"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литература, видео материал</w:t>
            </w:r>
            <w:r w:rsidR="00B535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8166D24" w14:textId="77777777" w:rsidR="000C440C" w:rsidRDefault="00C8429B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65E5EE" w14:textId="77777777" w:rsidR="00483003" w:rsidRPr="00483003" w:rsidRDefault="00483003" w:rsidP="0048300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с Заказчиком, Исполнителем могут быть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количественные характеристики изложения методических обучающих материалов для 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раскрытия тем раздела.</w:t>
            </w:r>
          </w:p>
        </w:tc>
      </w:tr>
      <w:tr w:rsidR="00E53CE3" w:rsidRPr="0013462B" w14:paraId="67DFB94D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CF1" w14:textId="77777777" w:rsidR="00E53CE3" w:rsidRPr="0013462B" w:rsidRDefault="003540B1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A11C" w14:textId="77777777"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соответствовать наименованию раздела.</w:t>
            </w:r>
          </w:p>
          <w:p w14:paraId="2EB6748F" w14:textId="77777777" w:rsidR="003540B1" w:rsidRPr="00C21CC6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 w:rsid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14:paraId="28A24D12" w14:textId="77777777"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14:paraId="75736B13" w14:textId="77777777" w:rsidR="005D1742" w:rsidRPr="00104A8F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обучающих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 четким, лаконичным,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грамотным, убедительным. </w:t>
            </w:r>
          </w:p>
        </w:tc>
      </w:tr>
      <w:tr w:rsidR="00E53CE3" w:rsidRPr="006E2EBF" w14:paraId="75AD0B6A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37D" w14:textId="77777777" w:rsidR="00E53CE3" w:rsidRPr="0013462B" w:rsidRDefault="00526308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методических рекомендаций и лекций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8731" w14:textId="77777777" w:rsidR="00526308" w:rsidRPr="0013462B" w:rsidRDefault="00526308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и лекции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мата А4</w:t>
            </w:r>
            <w:r w:rsidR="0013462B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использованием элементов фирменного стиля </w:t>
            </w:r>
            <w:r w:rsidR="0043453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r w:rsidR="0013462B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«Мой бизнес»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="00104A8F"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14:paraId="4AAD5943" w14:textId="77777777"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14:paraId="77463FD8" w14:textId="77777777"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14:paraId="5D0C3FDF" w14:textId="77777777" w:rsidR="00E53CE3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="00104A8F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Times New Roman,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азмер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39FB3856" w14:textId="77777777" w:rsidR="006E2EBF" w:rsidRPr="006E2EBF" w:rsidRDefault="006E2EBF" w:rsidP="006E2EBF">
            <w:pPr>
              <w:pStyle w:val="a4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2E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Лекции должны отражать материал, представленный в презентациях, схемах, таблицах для более качественного усвоения учебного материала.</w:t>
            </w:r>
          </w:p>
        </w:tc>
      </w:tr>
      <w:tr w:rsidR="00426F8E" w:rsidRPr="00426F8E" w14:paraId="6E4ABCE9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8FD" w14:textId="77777777" w:rsidR="00426F8E" w:rsidRPr="0013462B" w:rsidRDefault="00426F8E" w:rsidP="00426F8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A3F8B" w14:textId="77777777" w:rsidR="00434538" w:rsidRDefault="00434538" w:rsidP="00A823FF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14:paraId="0DE482BA" w14:textId="77777777"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странице. </w:t>
            </w:r>
            <w:r w:rsidR="00B07BE1">
              <w:rPr>
                <w:rFonts w:ascii="yandex-sans" w:hAnsi="yandex-sans"/>
                <w:color w:val="000000"/>
              </w:rPr>
              <w:t>На странице должны</w:t>
            </w:r>
            <w:r>
              <w:rPr>
                <w:rFonts w:ascii="yandex-sans" w:hAnsi="yandex-sans"/>
                <w:color w:val="000000"/>
              </w:rPr>
              <w:t xml:space="preserve"> размещаться </w:t>
            </w:r>
            <w:r w:rsidR="00B07BE1">
              <w:rPr>
                <w:rFonts w:ascii="yandex-sans" w:hAnsi="yandex-sans"/>
                <w:color w:val="000000"/>
              </w:rPr>
              <w:t>элементы фирменного стиля</w:t>
            </w:r>
            <w:r>
              <w:rPr>
                <w:rFonts w:ascii="yandex-sans" w:hAnsi="yandex-sans"/>
                <w:color w:val="000000"/>
              </w:rPr>
              <w:t xml:space="preserve"> Центра «Мой бизнес»;</w:t>
            </w:r>
          </w:p>
          <w:p w14:paraId="1277DB23" w14:textId="77777777"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14:paraId="1B1E7EB8" w14:textId="77777777"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lastRenderedPageBreak/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14:paraId="7BF02ABD" w14:textId="77777777"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14:paraId="47A482F4" w14:textId="77777777" w:rsidR="00434538" w:rsidRP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14:paraId="0D40B2DF" w14:textId="77777777" w:rsidR="0041442E" w:rsidRDefault="0041442E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14:paraId="061ABB87" w14:textId="77777777"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14:paraId="4A98EB74" w14:textId="77777777"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14:paraId="678DB0EE" w14:textId="77777777" w:rsidR="00426F8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14:paraId="41C99AF7" w14:textId="77777777" w:rsidR="0041442E" w:rsidRPr="0041442E" w:rsidRDefault="0041442E" w:rsidP="00B07BE1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странице долж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размещаться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="000F7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фирменного стиля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Центра «Мой бизнес».</w:t>
            </w:r>
          </w:p>
        </w:tc>
      </w:tr>
      <w:tr w:rsidR="00E53CE3" w:rsidRPr="0013462B" w14:paraId="281E93AB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5EA" w14:textId="77777777" w:rsidR="00E53CE3" w:rsidRPr="0013462B" w:rsidRDefault="00E55AF1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оформлению </w:t>
            </w:r>
            <w:r w:rsidR="00E90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51CF" w14:textId="77777777" w:rsidR="0096426B" w:rsidRPr="0096426B" w:rsidRDefault="00E9007E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должна быть выполнена в фирменном стиле Центра «Мой бизнес»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фирменного шрифта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Circle</w:t>
            </w:r>
            <w:proofErr w:type="spellEnd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7EC36D6" w14:textId="77777777" w:rsidR="0096426B" w:rsidRDefault="00E9007E" w:rsidP="00A823F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слайдах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должно быть большого объема текстовой информации. Слайды должны отвечать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  <w:p w14:paraId="2C0071E8" w14:textId="77777777" w:rsidR="00642978" w:rsidRPr="0096426B" w:rsidRDefault="00642978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Шаблон презентации Заказчик предоставляет Исполнителю после заключения договора.</w:t>
            </w:r>
          </w:p>
        </w:tc>
      </w:tr>
      <w:tr w:rsidR="00E53CE3" w:rsidRPr="0013462B" w14:paraId="62163F59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E6A" w14:textId="77777777" w:rsidR="00E53CE3" w:rsidRPr="0013462B" w:rsidRDefault="003C51FD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проведению</w:t>
            </w:r>
            <w:r w:rsidR="00052A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итогового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теста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8536F" w14:textId="77777777" w:rsidR="008C7AD2" w:rsidRDefault="008C7AD2" w:rsidP="00DE34B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 должен состоять из:</w:t>
            </w:r>
          </w:p>
          <w:p w14:paraId="0AB5BBBE" w14:textId="77777777"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инструкции – правил работы с тестом;</w:t>
            </w:r>
          </w:p>
          <w:p w14:paraId="78F02995" w14:textId="77777777"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вопросов с вариантами ответов.</w:t>
            </w:r>
          </w:p>
          <w:p w14:paraId="307836DC" w14:textId="77777777" w:rsidR="00B260DA" w:rsidRDefault="00B260DA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Инструкция должна быть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влена в понятной, доступной и доброжелательной форме.</w:t>
            </w:r>
          </w:p>
          <w:p w14:paraId="0EDD67F9" w14:textId="77777777" w:rsidR="00BA6ACE" w:rsidRDefault="00DE34B9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Вопросы теста готовятся на основе представленных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разделе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методических обучающих материалов.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Каждый</w:t>
            </w:r>
            <w:r w:rsidR="00B260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опрос должен содержать одну законченную мысль (тестовое задание должно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проверять один элемент знания) и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иметь один вариант правильного ответа. Правильный ответ должен быть однозначным, кратким, четким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не обладать слишком большим объемом.</w:t>
            </w:r>
            <w:r w:rsidR="008C7AD2" w:rsidRPr="008C7AD2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правильного ответа должно быть определено таким образом, чтобы оно не повторялось от вопроса к вопросу, не было закономерностей, а давалось в случайном порядке.</w:t>
            </w:r>
          </w:p>
          <w:p w14:paraId="5EEA6AF6" w14:textId="77777777" w:rsidR="00BA6ACE" w:rsidRPr="00DE34B9" w:rsidRDefault="00BA6ACE" w:rsidP="00D31E16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Итоговое тестирование готовится на основании обучающих материалов, размещенных в разделе для проверки полученных знаний. По окончанию тестирования обучающийся должен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сразу получить свои результаты</w:t>
            </w:r>
            <w:r w:rsidR="00D31E1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теста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B53509" w:rsidRPr="0013462B" w14:paraId="05B94567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D53" w14:textId="77777777" w:rsidR="00B53509" w:rsidRDefault="00B53509" w:rsidP="00B53509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и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8385" w14:textId="77777777" w:rsidR="00B53509" w:rsidRDefault="00B53509" w:rsidP="00B5350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екомендуем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видео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раздела.</w:t>
            </w:r>
          </w:p>
          <w:p w14:paraId="4E6E7243" w14:textId="77777777" w:rsidR="006E2EBF" w:rsidRPr="006E2EBF" w:rsidRDefault="006E2EBF" w:rsidP="006E2EB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  <w:p w14:paraId="7E225239" w14:textId="77777777" w:rsidR="00B53509" w:rsidRDefault="006E2EBF" w:rsidP="006E2EB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предоставляет Заказчику ссылки на рекомендуемый обучающий материал, с указанием первоисточника для дальнейшего размещения на образовательной платформе.</w:t>
            </w:r>
          </w:p>
        </w:tc>
      </w:tr>
      <w:tr w:rsidR="00F7533E" w:rsidRPr="0013462B" w14:paraId="132F431B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B17" w14:textId="77777777"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1A8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Исполнитель организует и обеспечивает исполнение следующих обязательств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F9D72" w14:textId="77777777" w:rsidR="00F7533E" w:rsidRPr="00F7533E" w:rsidRDefault="00F7533E" w:rsidP="00F7533E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методических обучающих материалов для размещения на образовательной платформе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обеспечивает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14:paraId="7A78122D" w14:textId="77777777" w:rsidR="00CC096C" w:rsidRDefault="00F72A2D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анализ литературы согласно действующему законодательству РФ для написания и составления лекций, схем, т</w:t>
            </w:r>
            <w:r w:rsidR="00D4212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аблиц, презентаций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6B5E3A89" w14:textId="77777777" w:rsidR="00BA6ACE" w:rsidRDefault="00BA6ACE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использование во всех форматах </w:t>
            </w:r>
            <w:r w:rsidRP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методических обучающих материалов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фирменного стиля Центра «Мой бизнес». После заключения договора Заказчик передает Исполнителю ссылку на брендбук Центра «Мой бизнес»;</w:t>
            </w:r>
          </w:p>
          <w:p w14:paraId="18F89315" w14:textId="77777777" w:rsidR="00F7533E" w:rsidRPr="005E5A6A" w:rsidRDefault="006E2EBF" w:rsidP="005E5A6A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согласование с Заказчиком разработанных методических обучающих материалов, их содержание и внешний вид не менее чем за 15 календарных дней до окончания срока оказания услуги.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случае наличия у Заказчика мотивированных замечаний к результатам оказанных услуг, Исполнитель обязуется своими силами и за свой счет исправить недостатки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сроки, установленные Заказчиком.</w:t>
            </w:r>
          </w:p>
        </w:tc>
      </w:tr>
      <w:tr w:rsidR="00F7533E" w:rsidRPr="0013462B" w14:paraId="3E5C1C3D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84F" w14:textId="77777777"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5CB3" w14:textId="77777777" w:rsidR="00F7533E" w:rsidRPr="0013462B" w:rsidRDefault="00F7533E" w:rsidP="00F7533E">
            <w:pPr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</w:t>
            </w:r>
          </w:p>
        </w:tc>
      </w:tr>
      <w:tr w:rsidR="00F7533E" w:rsidRPr="0013462B" w14:paraId="18090A9A" w14:textId="77777777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880" w14:textId="77777777"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отчетным документам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9643" w14:textId="66A50709" w:rsidR="00ED5BCB" w:rsidRDefault="00ED5BCB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утверждения Заказчиком разработанных методических обучающих материалов, Исполнит</w:t>
            </w:r>
            <w:r w:rsidR="00966F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="000F7C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предоставляет:</w:t>
            </w:r>
          </w:p>
          <w:p w14:paraId="7CCB4135" w14:textId="77777777"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методические рекомендации по изучению обучающего раздела и его тем;</w:t>
            </w:r>
          </w:p>
          <w:p w14:paraId="1C91894A" w14:textId="0B283BC8" w:rsidR="00ED5BCB" w:rsidRPr="00622F8F" w:rsidRDefault="00DC0F5E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презентации;</w:t>
            </w:r>
          </w:p>
          <w:p w14:paraId="164C9941" w14:textId="76990297" w:rsidR="00ED5BCB" w:rsidRPr="00622F8F" w:rsidRDefault="00F5544E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лекций;</w:t>
            </w:r>
          </w:p>
          <w:p w14:paraId="139FFD07" w14:textId="602E1D3E" w:rsidR="00ED5BCB" w:rsidRPr="00622F8F" w:rsidRDefault="00F5544E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1F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7BBAA1AC" w14:textId="0BA85B3E" w:rsidR="00F7533E" w:rsidRPr="00622F8F" w:rsidRDefault="00F5544E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схемы;</w:t>
            </w:r>
          </w:p>
          <w:p w14:paraId="41D9432A" w14:textId="77777777" w:rsidR="00083138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тест</w:t>
            </w:r>
            <w:r w:rsidR="00083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46F26984" w14:textId="77777777" w:rsidR="00083138" w:rsidRDefault="00083138" w:rsidP="00D4212A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 литературу</w:t>
            </w:r>
            <w:r w:rsidR="0027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видео материалы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CC6BCD3" w14:textId="77777777" w:rsidR="00ED5BCB" w:rsidRPr="00083138" w:rsidRDefault="00083138" w:rsidP="00083138">
            <w:pPr>
              <w:pStyle w:val="a4"/>
              <w:keepNext/>
              <w:keepLines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– при наличии</w:t>
            </w:r>
            <w:r w:rsidR="004A5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46DC9E" w14:textId="77777777" w:rsid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случае внесения изменений в п. 6 Технического задания Исполнитель предоставляет разработанные методические обучающие материалы согласно изменениям.</w:t>
            </w:r>
          </w:p>
          <w:p w14:paraId="6C8A7DCD" w14:textId="77777777" w:rsidR="00F46380" w:rsidRP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Разработанные методические обучающие материалы предоставляются Заказчику на </w:t>
            </w:r>
            <w:r w:rsidRPr="00F46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возможностью редактирования.</w:t>
            </w:r>
          </w:p>
        </w:tc>
      </w:tr>
    </w:tbl>
    <w:p w14:paraId="40312E61" w14:textId="77777777" w:rsidR="00966F2D" w:rsidRDefault="00966F2D" w:rsidP="0096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BF3169" w14:textId="77777777" w:rsidR="00966F2D" w:rsidRPr="008D3A5C" w:rsidRDefault="00966F2D" w:rsidP="0096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конкурсном отборе на разработку методических обучающих материалов, потенциальным Исполнителям необходимо предоставить коммерческое предложение, в котором необходимо указать:</w:t>
      </w:r>
    </w:p>
    <w:p w14:paraId="32D74CCE" w14:textId="77777777" w:rsidR="00966F2D" w:rsidRPr="008D3A5C" w:rsidRDefault="00966F2D" w:rsidP="00966F2D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услуги;</w:t>
      </w:r>
    </w:p>
    <w:p w14:paraId="08AA5581" w14:textId="77777777" w:rsidR="00966F2D" w:rsidRPr="008D3A5C" w:rsidRDefault="00966F2D" w:rsidP="00966F2D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99EE11A" w14:textId="77777777" w:rsidR="00966F2D" w:rsidRPr="008D3A5C" w:rsidRDefault="00966F2D" w:rsidP="00966F2D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разработки методических обучающих материалов;</w:t>
      </w:r>
    </w:p>
    <w:p w14:paraId="2F2E4E81" w14:textId="77777777" w:rsidR="00966F2D" w:rsidRPr="008D3A5C" w:rsidRDefault="00966F2D" w:rsidP="00966F2D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услуги;</w:t>
      </w:r>
    </w:p>
    <w:p w14:paraId="1E867D36" w14:textId="77777777" w:rsidR="00966F2D" w:rsidRPr="008D3A5C" w:rsidRDefault="00966F2D" w:rsidP="00966F2D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14:paraId="287E4BFF" w14:textId="77777777" w:rsidR="00966F2D" w:rsidRPr="008D3A5C" w:rsidRDefault="00966F2D" w:rsidP="0096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364524" w14:textId="551CB707" w:rsidR="00966F2D" w:rsidRPr="008D3A5C" w:rsidRDefault="00966F2D" w:rsidP="0096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06 сентября</w:t>
      </w:r>
      <w:bookmarkStart w:id="0" w:name="_GoBack"/>
      <w:bookmarkEnd w:id="0"/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 включительно. </w:t>
      </w:r>
    </w:p>
    <w:p w14:paraId="0D071ED8" w14:textId="77777777" w:rsidR="00966F2D" w:rsidRPr="008D3A5C" w:rsidRDefault="00966F2D" w:rsidP="0096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36F0C0" w14:textId="77777777" w:rsidR="00966F2D" w:rsidRPr="008D3A5C" w:rsidRDefault="00966F2D" w:rsidP="0096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8D3A5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cpp34@bk.ru</w:t>
        </w:r>
      </w:hyperlink>
      <w:r w:rsidRPr="008D3A5C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07BEDD01" w14:textId="77777777" w:rsidR="00966F2D" w:rsidRPr="008D3A5C" w:rsidRDefault="00966F2D" w:rsidP="0096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E8636E" w14:textId="77777777" w:rsidR="004567C8" w:rsidRDefault="004567C8" w:rsidP="00966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4567C8" w:rsidSect="006E2EBF">
      <w:pgSz w:w="11906" w:h="16838"/>
      <w:pgMar w:top="1135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87"/>
    <w:multiLevelType w:val="hybridMultilevel"/>
    <w:tmpl w:val="AF1A280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7AE4"/>
    <w:multiLevelType w:val="hybridMultilevel"/>
    <w:tmpl w:val="9EFA6E8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3FE6"/>
    <w:multiLevelType w:val="hybridMultilevel"/>
    <w:tmpl w:val="5C7C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721"/>
    <w:multiLevelType w:val="hybridMultilevel"/>
    <w:tmpl w:val="963E521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55A7F"/>
    <w:multiLevelType w:val="hybridMultilevel"/>
    <w:tmpl w:val="173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C50"/>
    <w:multiLevelType w:val="hybridMultilevel"/>
    <w:tmpl w:val="4860F4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5144"/>
    <w:multiLevelType w:val="multilevel"/>
    <w:tmpl w:val="35C09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1D54DF5"/>
    <w:multiLevelType w:val="hybridMultilevel"/>
    <w:tmpl w:val="FEACBD4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6993"/>
    <w:multiLevelType w:val="hybridMultilevel"/>
    <w:tmpl w:val="99168D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39E"/>
    <w:multiLevelType w:val="hybridMultilevel"/>
    <w:tmpl w:val="4ED82E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9639A"/>
    <w:multiLevelType w:val="hybridMultilevel"/>
    <w:tmpl w:val="99CEE13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066E5"/>
    <w:multiLevelType w:val="hybridMultilevel"/>
    <w:tmpl w:val="499C7D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5092D"/>
    <w:multiLevelType w:val="hybridMultilevel"/>
    <w:tmpl w:val="5604531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146F"/>
    <w:multiLevelType w:val="multilevel"/>
    <w:tmpl w:val="40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0F81"/>
    <w:multiLevelType w:val="hybridMultilevel"/>
    <w:tmpl w:val="FBAC78D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40ED1"/>
    <w:multiLevelType w:val="hybridMultilevel"/>
    <w:tmpl w:val="0CBE5A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9534A"/>
    <w:multiLevelType w:val="hybridMultilevel"/>
    <w:tmpl w:val="E5B04B7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2"/>
  </w:num>
  <w:num w:numId="4">
    <w:abstractNumId w:val="20"/>
  </w:num>
  <w:num w:numId="5">
    <w:abstractNumId w:val="6"/>
  </w:num>
  <w:num w:numId="6">
    <w:abstractNumId w:val="2"/>
  </w:num>
  <w:num w:numId="7">
    <w:abstractNumId w:val="21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29"/>
  </w:num>
  <w:num w:numId="14">
    <w:abstractNumId w:val="34"/>
  </w:num>
  <w:num w:numId="15">
    <w:abstractNumId w:val="19"/>
  </w:num>
  <w:num w:numId="16">
    <w:abstractNumId w:val="27"/>
  </w:num>
  <w:num w:numId="17">
    <w:abstractNumId w:val="31"/>
  </w:num>
  <w:num w:numId="18">
    <w:abstractNumId w:val="33"/>
  </w:num>
  <w:num w:numId="19">
    <w:abstractNumId w:val="37"/>
  </w:num>
  <w:num w:numId="20">
    <w:abstractNumId w:val="30"/>
  </w:num>
  <w:num w:numId="21">
    <w:abstractNumId w:val="5"/>
  </w:num>
  <w:num w:numId="22">
    <w:abstractNumId w:val="14"/>
  </w:num>
  <w:num w:numId="23">
    <w:abstractNumId w:val="22"/>
  </w:num>
  <w:num w:numId="24">
    <w:abstractNumId w:val="26"/>
  </w:num>
  <w:num w:numId="25">
    <w:abstractNumId w:val="35"/>
  </w:num>
  <w:num w:numId="26">
    <w:abstractNumId w:val="7"/>
  </w:num>
  <w:num w:numId="27">
    <w:abstractNumId w:val="25"/>
  </w:num>
  <w:num w:numId="28">
    <w:abstractNumId w:val="28"/>
  </w:num>
  <w:num w:numId="29">
    <w:abstractNumId w:val="15"/>
  </w:num>
  <w:num w:numId="30">
    <w:abstractNumId w:val="16"/>
  </w:num>
  <w:num w:numId="31">
    <w:abstractNumId w:val="36"/>
  </w:num>
  <w:num w:numId="32">
    <w:abstractNumId w:val="8"/>
  </w:num>
  <w:num w:numId="33">
    <w:abstractNumId w:val="13"/>
  </w:num>
  <w:num w:numId="34">
    <w:abstractNumId w:val="24"/>
  </w:num>
  <w:num w:numId="35">
    <w:abstractNumId w:val="17"/>
  </w:num>
  <w:num w:numId="36">
    <w:abstractNumId w:val="23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37516"/>
    <w:rsid w:val="00044B54"/>
    <w:rsid w:val="00045E80"/>
    <w:rsid w:val="00052A3F"/>
    <w:rsid w:val="00083138"/>
    <w:rsid w:val="000C440C"/>
    <w:rsid w:val="000C4FE6"/>
    <w:rsid w:val="000F2A31"/>
    <w:rsid w:val="000F7C3B"/>
    <w:rsid w:val="00104A8F"/>
    <w:rsid w:val="0013462B"/>
    <w:rsid w:val="00144B42"/>
    <w:rsid w:val="0015328F"/>
    <w:rsid w:val="001A0B03"/>
    <w:rsid w:val="001D4E3B"/>
    <w:rsid w:val="00271C5D"/>
    <w:rsid w:val="002B6C1D"/>
    <w:rsid w:val="00302432"/>
    <w:rsid w:val="00305EFF"/>
    <w:rsid w:val="0035214B"/>
    <w:rsid w:val="003540B1"/>
    <w:rsid w:val="00356190"/>
    <w:rsid w:val="00373EFE"/>
    <w:rsid w:val="00383B08"/>
    <w:rsid w:val="003C2007"/>
    <w:rsid w:val="003C51FD"/>
    <w:rsid w:val="003F4725"/>
    <w:rsid w:val="0041442E"/>
    <w:rsid w:val="00426F8E"/>
    <w:rsid w:val="00431591"/>
    <w:rsid w:val="00434538"/>
    <w:rsid w:val="0044132E"/>
    <w:rsid w:val="004567C8"/>
    <w:rsid w:val="00480C68"/>
    <w:rsid w:val="00483003"/>
    <w:rsid w:val="00483E82"/>
    <w:rsid w:val="004A5487"/>
    <w:rsid w:val="004B0526"/>
    <w:rsid w:val="00510EB5"/>
    <w:rsid w:val="00526308"/>
    <w:rsid w:val="00532837"/>
    <w:rsid w:val="00562965"/>
    <w:rsid w:val="00562EC2"/>
    <w:rsid w:val="005A6AC6"/>
    <w:rsid w:val="005B57FF"/>
    <w:rsid w:val="005D1742"/>
    <w:rsid w:val="005E1476"/>
    <w:rsid w:val="005E5A6A"/>
    <w:rsid w:val="005F35E9"/>
    <w:rsid w:val="00622F8F"/>
    <w:rsid w:val="00642978"/>
    <w:rsid w:val="00691F1A"/>
    <w:rsid w:val="006E2EBF"/>
    <w:rsid w:val="00721A80"/>
    <w:rsid w:val="00795C5A"/>
    <w:rsid w:val="007C7796"/>
    <w:rsid w:val="007F321C"/>
    <w:rsid w:val="00804DC1"/>
    <w:rsid w:val="00837FEB"/>
    <w:rsid w:val="00870119"/>
    <w:rsid w:val="008C39BB"/>
    <w:rsid w:val="008C7AD2"/>
    <w:rsid w:val="008D2BD1"/>
    <w:rsid w:val="008E2B6F"/>
    <w:rsid w:val="00942881"/>
    <w:rsid w:val="0096426B"/>
    <w:rsid w:val="0096572B"/>
    <w:rsid w:val="00966F2D"/>
    <w:rsid w:val="00A24759"/>
    <w:rsid w:val="00A51C34"/>
    <w:rsid w:val="00A823FF"/>
    <w:rsid w:val="00AB423B"/>
    <w:rsid w:val="00AE5A71"/>
    <w:rsid w:val="00B006EF"/>
    <w:rsid w:val="00B07BE1"/>
    <w:rsid w:val="00B25F85"/>
    <w:rsid w:val="00B260DA"/>
    <w:rsid w:val="00B53509"/>
    <w:rsid w:val="00B61F8B"/>
    <w:rsid w:val="00B9470C"/>
    <w:rsid w:val="00BA6ACE"/>
    <w:rsid w:val="00BD49DC"/>
    <w:rsid w:val="00C02110"/>
    <w:rsid w:val="00C14277"/>
    <w:rsid w:val="00C21CC6"/>
    <w:rsid w:val="00C24379"/>
    <w:rsid w:val="00C268BC"/>
    <w:rsid w:val="00C75CA5"/>
    <w:rsid w:val="00C8429B"/>
    <w:rsid w:val="00CC046C"/>
    <w:rsid w:val="00CC096C"/>
    <w:rsid w:val="00CE2823"/>
    <w:rsid w:val="00D31E16"/>
    <w:rsid w:val="00D4212A"/>
    <w:rsid w:val="00DC0F5E"/>
    <w:rsid w:val="00DC1C38"/>
    <w:rsid w:val="00DE34B9"/>
    <w:rsid w:val="00E2305A"/>
    <w:rsid w:val="00E260F6"/>
    <w:rsid w:val="00E364AE"/>
    <w:rsid w:val="00E40993"/>
    <w:rsid w:val="00E414C3"/>
    <w:rsid w:val="00E521DC"/>
    <w:rsid w:val="00E53CE3"/>
    <w:rsid w:val="00E55AF1"/>
    <w:rsid w:val="00E63E84"/>
    <w:rsid w:val="00E67796"/>
    <w:rsid w:val="00E9007E"/>
    <w:rsid w:val="00E91C54"/>
    <w:rsid w:val="00EA632F"/>
    <w:rsid w:val="00ED5BCB"/>
    <w:rsid w:val="00EF75CA"/>
    <w:rsid w:val="00F20BA8"/>
    <w:rsid w:val="00F27F60"/>
    <w:rsid w:val="00F46380"/>
    <w:rsid w:val="00F5544E"/>
    <w:rsid w:val="00F72A2D"/>
    <w:rsid w:val="00F7533E"/>
    <w:rsid w:val="00FA42BD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76B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E53CE3"/>
  </w:style>
  <w:style w:type="paragraph" w:styleId="a6">
    <w:name w:val="Normal (Web)"/>
    <w:basedOn w:val="a"/>
    <w:uiPriority w:val="99"/>
    <w:semiHidden/>
    <w:unhideWhenUsed/>
    <w:rsid w:val="004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2021-08-30T07:57:00Z</dcterms:created>
  <dcterms:modified xsi:type="dcterms:W3CDTF">2021-09-01T07:33:00Z</dcterms:modified>
</cp:coreProperties>
</file>